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0D0" w14:textId="77777777" w:rsidR="00090D34" w:rsidRDefault="00090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4520BEA7" w14:textId="77777777" w:rsidR="00090D34" w:rsidRDefault="00156746">
      <w:pPr>
        <w:spacing w:after="160" w:line="254" w:lineRule="auto"/>
        <w:jc w:val="center"/>
        <w:rPr>
          <w:rFonts w:ascii="Maven Pro" w:eastAsia="Maven Pro" w:hAnsi="Maven Pro" w:cs="Maven Pro"/>
          <w:b/>
          <w:sz w:val="40"/>
          <w:szCs w:val="40"/>
        </w:rPr>
      </w:pPr>
      <w:r>
        <w:rPr>
          <w:rFonts w:ascii="Maven Pro" w:eastAsia="Maven Pro" w:hAnsi="Maven Pro" w:cs="Maven Pro"/>
          <w:b/>
          <w:sz w:val="40"/>
          <w:szCs w:val="40"/>
        </w:rPr>
        <w:t>Un estudio revela nuevas estrategias terapéuticas en pacientes con EPOC</w:t>
      </w:r>
    </w:p>
    <w:p w14:paraId="143EE683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b/>
          <w:sz w:val="24"/>
          <w:szCs w:val="24"/>
        </w:rPr>
      </w:pPr>
      <w:r>
        <w:rPr>
          <w:rFonts w:ascii="Maven Pro" w:eastAsia="Maven Pro" w:hAnsi="Maven Pro" w:cs="Maven Pro"/>
          <w:b/>
          <w:sz w:val="24"/>
          <w:szCs w:val="24"/>
        </w:rPr>
        <w:t xml:space="preserve"> </w:t>
      </w:r>
    </w:p>
    <w:p w14:paraId="4C1DDAE6" w14:textId="77777777" w:rsidR="00090D34" w:rsidRDefault="00156746">
      <w:pPr>
        <w:spacing w:after="0"/>
        <w:ind w:left="1080" w:hanging="360"/>
        <w:jc w:val="both"/>
        <w:rPr>
          <w:rFonts w:ascii="Maven Pro" w:eastAsia="Maven Pro" w:hAnsi="Maven Pro" w:cs="Maven Pro"/>
          <w:b/>
          <w:i/>
          <w:sz w:val="24"/>
          <w:szCs w:val="24"/>
        </w:rPr>
      </w:pPr>
      <w:r>
        <w:rPr>
          <w:rFonts w:ascii="Maven Pro" w:eastAsia="Maven Pro" w:hAnsi="Maven Pro" w:cs="Maven Pro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Maven Pro" w:eastAsia="Maven Pro" w:hAnsi="Maven Pro" w:cs="Maven Pro"/>
          <w:b/>
          <w:i/>
          <w:sz w:val="24"/>
          <w:szCs w:val="24"/>
        </w:rPr>
        <w:t xml:space="preserve">Un trabajo dentro del marco colaborativo del </w:t>
      </w:r>
      <w:hyperlink r:id="rId7">
        <w:r>
          <w:rPr>
            <w:rFonts w:ascii="Maven Pro" w:eastAsia="Maven Pro" w:hAnsi="Maven Pro" w:cs="Maven Pro"/>
            <w:b/>
            <w:i/>
            <w:color w:val="1155CC"/>
            <w:sz w:val="24"/>
            <w:szCs w:val="24"/>
            <w:u w:val="single"/>
          </w:rPr>
          <w:t>CIBER</w:t>
        </w:r>
      </w:hyperlink>
      <w:r>
        <w:rPr>
          <w:rFonts w:ascii="Maven Pro" w:eastAsia="Maven Pro" w:hAnsi="Maven Pro" w:cs="Maven Pro"/>
          <w:b/>
          <w:i/>
          <w:sz w:val="24"/>
          <w:szCs w:val="24"/>
        </w:rPr>
        <w:t xml:space="preserve">, Centro de Investigación Biomédica en Red, revela algunos de los mecanismos moleculares subyacentes a la disfunción muscular en la EPOC </w:t>
      </w:r>
    </w:p>
    <w:p w14:paraId="306382F2" w14:textId="77777777" w:rsidR="00090D34" w:rsidRDefault="00156746">
      <w:pPr>
        <w:spacing w:after="160"/>
        <w:jc w:val="both"/>
        <w:rPr>
          <w:rFonts w:ascii="Maven Pro" w:eastAsia="Maven Pro" w:hAnsi="Maven Pro" w:cs="Maven Pro"/>
          <w:b/>
          <w:i/>
          <w:sz w:val="24"/>
          <w:szCs w:val="24"/>
        </w:rPr>
      </w:pPr>
      <w:r>
        <w:rPr>
          <w:rFonts w:ascii="Maven Pro" w:eastAsia="Maven Pro" w:hAnsi="Maven Pro" w:cs="Maven Pro"/>
          <w:b/>
          <w:i/>
          <w:sz w:val="24"/>
          <w:szCs w:val="24"/>
        </w:rPr>
        <w:t xml:space="preserve"> </w:t>
      </w:r>
    </w:p>
    <w:p w14:paraId="74A34C23" w14:textId="77777777" w:rsidR="00090D34" w:rsidRDefault="00156746">
      <w:pPr>
        <w:spacing w:after="160"/>
        <w:ind w:left="1080" w:hanging="360"/>
        <w:jc w:val="both"/>
        <w:rPr>
          <w:rFonts w:ascii="Maven Pro" w:eastAsia="Maven Pro" w:hAnsi="Maven Pro" w:cs="Maven Pro"/>
          <w:b/>
          <w:i/>
          <w:sz w:val="24"/>
          <w:szCs w:val="24"/>
        </w:rPr>
      </w:pPr>
      <w:r>
        <w:rPr>
          <w:rFonts w:ascii="Maven Pro" w:eastAsia="Maven Pro" w:hAnsi="Maven Pro" w:cs="Maven Pro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Maven Pro" w:eastAsia="Maven Pro" w:hAnsi="Maven Pro" w:cs="Maven Pro"/>
          <w:b/>
          <w:i/>
          <w:sz w:val="24"/>
          <w:szCs w:val="24"/>
        </w:rPr>
        <w:t>La investigación demuestra el relevante papel que podrían jugar los fármac</w:t>
      </w:r>
      <w:r>
        <w:rPr>
          <w:rFonts w:ascii="Maven Pro" w:eastAsia="Maven Pro" w:hAnsi="Maven Pro" w:cs="Maven Pro"/>
          <w:b/>
          <w:i/>
          <w:sz w:val="24"/>
          <w:szCs w:val="24"/>
        </w:rPr>
        <w:t xml:space="preserve">os estimuladores del enzima guanilato ciclasa soluble </w:t>
      </w:r>
    </w:p>
    <w:p w14:paraId="37ACCCD5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b/>
          <w:i/>
          <w:sz w:val="20"/>
          <w:szCs w:val="20"/>
        </w:rPr>
      </w:pPr>
      <w:r>
        <w:rPr>
          <w:rFonts w:ascii="Maven Pro" w:eastAsia="Maven Pro" w:hAnsi="Maven Pro" w:cs="Maven Pro"/>
          <w:b/>
          <w:i/>
          <w:sz w:val="20"/>
          <w:szCs w:val="20"/>
        </w:rPr>
        <w:t xml:space="preserve"> </w:t>
      </w:r>
    </w:p>
    <w:p w14:paraId="7B3AD36E" w14:textId="534E62C8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i/>
          <w:sz w:val="20"/>
          <w:szCs w:val="20"/>
        </w:rPr>
      </w:pPr>
      <w:r>
        <w:rPr>
          <w:rFonts w:ascii="Maven Pro" w:eastAsia="Maven Pro" w:hAnsi="Maven Pro" w:cs="Maven Pro"/>
          <w:b/>
          <w:i/>
          <w:sz w:val="20"/>
          <w:szCs w:val="20"/>
        </w:rPr>
        <w:t>Madrid, 31</w:t>
      </w:r>
      <w:r>
        <w:rPr>
          <w:rFonts w:ascii="Maven Pro" w:eastAsia="Maven Pro" w:hAnsi="Maven Pro" w:cs="Maven Pro"/>
          <w:b/>
          <w:i/>
          <w:sz w:val="20"/>
          <w:szCs w:val="20"/>
        </w:rPr>
        <w:t xml:space="preserve"> de mayo de 2023</w:t>
      </w:r>
      <w:r>
        <w:rPr>
          <w:rFonts w:ascii="Maven Pro" w:eastAsia="Maven Pro" w:hAnsi="Maven Pro" w:cs="Maven Pro"/>
          <w:sz w:val="20"/>
          <w:szCs w:val="20"/>
        </w:rPr>
        <w:t xml:space="preserve">. Un estudio reciente llevado a cabo por investigadores del </w:t>
      </w:r>
      <w:r>
        <w:rPr>
          <w:rFonts w:ascii="Maven Pro" w:eastAsia="Maven Pro" w:hAnsi="Maven Pro" w:cs="Maven Pro"/>
          <w:i/>
          <w:sz w:val="20"/>
          <w:szCs w:val="20"/>
        </w:rPr>
        <w:t>CIBER de Enfermedades Respiratorias</w:t>
      </w:r>
      <w:r>
        <w:rPr>
          <w:rFonts w:ascii="Maven Pro" w:eastAsia="Maven Pro" w:hAnsi="Maven Pro" w:cs="Maven Pro"/>
          <w:sz w:val="20"/>
          <w:szCs w:val="20"/>
        </w:rPr>
        <w:t>(</w:t>
      </w:r>
      <w:hyperlink r:id="rId8">
        <w:r>
          <w:rPr>
            <w:rFonts w:ascii="Maven Pro" w:eastAsia="Maven Pro" w:hAnsi="Maven Pro" w:cs="Maven Pro"/>
            <w:color w:val="1155CC"/>
            <w:sz w:val="20"/>
            <w:szCs w:val="20"/>
            <w:u w:val="single"/>
          </w:rPr>
          <w:t>CIBERES</w:t>
        </w:r>
      </w:hyperlink>
      <w:r>
        <w:rPr>
          <w:rFonts w:ascii="Maven Pro" w:eastAsia="Maven Pro" w:hAnsi="Maven Pro" w:cs="Maven Pro"/>
          <w:sz w:val="20"/>
          <w:szCs w:val="20"/>
        </w:rPr>
        <w:t xml:space="preserve">), del IDIBAPS-Hospital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Clinic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de Barcelona, y el IMIM-Hospital del Mar de Barcelona, ha demostrado que la estimulación de la vía de una enzima (</w:t>
      </w:r>
      <w:r>
        <w:rPr>
          <w:rFonts w:ascii="Maven Pro" w:eastAsia="Maven Pro" w:hAnsi="Maven Pro" w:cs="Maven Pro"/>
          <w:i/>
          <w:sz w:val="20"/>
          <w:szCs w:val="20"/>
        </w:rPr>
        <w:t>de la guanilato ciclasa solu</w:t>
      </w:r>
      <w:r>
        <w:rPr>
          <w:rFonts w:ascii="Maven Pro" w:eastAsia="Maven Pro" w:hAnsi="Maven Pro" w:cs="Maven Pro"/>
          <w:i/>
          <w:sz w:val="20"/>
          <w:szCs w:val="20"/>
        </w:rPr>
        <w:t>ble (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GCs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>)-GMP cíclico (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GMPc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), puede ser una estrategia terapéutica efectiva para tratar la disfunción del músculo esquelético, en pacientes con </w:t>
      </w:r>
      <w:r>
        <w:rPr>
          <w:rFonts w:ascii="Maven Pro" w:eastAsia="Maven Pro" w:hAnsi="Maven Pro" w:cs="Maven Pro"/>
          <w:b/>
          <w:sz w:val="20"/>
          <w:szCs w:val="20"/>
        </w:rPr>
        <w:t>enfermedad pulmonar obstructiva crónica (EPOC).</w:t>
      </w:r>
      <w:r>
        <w:rPr>
          <w:rFonts w:ascii="Maven Pro" w:eastAsia="Maven Pro" w:hAnsi="Maven Pro" w:cs="Maven Pro"/>
          <w:sz w:val="20"/>
          <w:szCs w:val="20"/>
        </w:rPr>
        <w:t xml:space="preserve"> La investigación ha sido publicada en la revista científica </w:t>
      </w:r>
      <w:r>
        <w:rPr>
          <w:rFonts w:ascii="Maven Pro" w:eastAsia="Maven Pro" w:hAnsi="Maven Pro" w:cs="Maven Pro"/>
          <w:i/>
          <w:sz w:val="20"/>
          <w:szCs w:val="20"/>
        </w:rPr>
        <w:t>Amer</w:t>
      </w:r>
      <w:r>
        <w:rPr>
          <w:rFonts w:ascii="Maven Pro" w:eastAsia="Maven Pro" w:hAnsi="Maven Pro" w:cs="Maven Pro"/>
          <w:i/>
          <w:sz w:val="20"/>
          <w:szCs w:val="20"/>
        </w:rPr>
        <w:t xml:space="preserve">ican 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Journal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of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Physiology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>.</w:t>
      </w:r>
    </w:p>
    <w:p w14:paraId="1ACE0AD0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b/>
          <w:sz w:val="20"/>
          <w:szCs w:val="20"/>
        </w:rPr>
      </w:pPr>
      <w:r>
        <w:rPr>
          <w:rFonts w:ascii="Maven Pro" w:eastAsia="Maven Pro" w:hAnsi="Maven Pro" w:cs="Maven Pro"/>
          <w:b/>
          <w:sz w:val="20"/>
          <w:szCs w:val="20"/>
        </w:rPr>
        <w:t xml:space="preserve"> </w:t>
      </w:r>
    </w:p>
    <w:p w14:paraId="6D819E1C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 xml:space="preserve">"Este estudio, realizado en un modelo animal de EPOC, proporciona nueva información sobre cómo la disfunción muscular esquelética en la EPOC puede ser abordada a través de la activación farmacológica de la vía de una enzima, </w:t>
      </w:r>
      <w:proofErr w:type="gramStart"/>
      <w:r>
        <w:rPr>
          <w:rFonts w:ascii="Maven Pro" w:eastAsia="Maven Pro" w:hAnsi="Maven Pro" w:cs="Maven Pro"/>
          <w:sz w:val="20"/>
          <w:szCs w:val="20"/>
        </w:rPr>
        <w:t>d</w:t>
      </w:r>
      <w:r>
        <w:rPr>
          <w:rFonts w:ascii="Maven Pro" w:eastAsia="Maven Pro" w:hAnsi="Maven Pro" w:cs="Maven Pro"/>
          <w:sz w:val="20"/>
          <w:szCs w:val="20"/>
        </w:rPr>
        <w:t xml:space="preserve">e </w:t>
      </w:r>
      <w:r>
        <w:rPr>
          <w:rFonts w:ascii="Maven Pro" w:eastAsia="Maven Pro" w:hAnsi="Maven Pro" w:cs="Maven Pro"/>
          <w:i/>
          <w:sz w:val="20"/>
          <w:szCs w:val="20"/>
        </w:rPr>
        <w:t>la guanilato ciclasa soluble</w:t>
      </w:r>
      <w:proofErr w:type="gramEnd"/>
      <w:r>
        <w:rPr>
          <w:rFonts w:ascii="Maven Pro" w:eastAsia="Maven Pro" w:hAnsi="Maven Pro" w:cs="Maven Pro"/>
          <w:i/>
          <w:sz w:val="20"/>
          <w:szCs w:val="20"/>
        </w:rPr>
        <w:t xml:space="preserve"> (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GCs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>)-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GMPc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. Esperamos que estos hallazgos puedan ser aplicados en el desarrollo de tratamientos efectivos para mejorar la calidad de vida de los pacientes con EPOC”, comentan los investigadores del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CIBERES</w:t>
      </w:r>
      <w:r>
        <w:rPr>
          <w:rFonts w:ascii="Maven Pro" w:eastAsia="Maven Pro" w:hAnsi="Maven Pro" w:cs="Maven Pro"/>
          <w:b/>
          <w:i/>
          <w:sz w:val="20"/>
          <w:szCs w:val="20"/>
        </w:rPr>
        <w:t>Víctor</w:t>
      </w:r>
      <w:proofErr w:type="spellEnd"/>
      <w:r>
        <w:rPr>
          <w:rFonts w:ascii="Maven Pro" w:eastAsia="Maven Pro" w:hAnsi="Maven Pro" w:cs="Maven Pro"/>
          <w:b/>
          <w:i/>
          <w:sz w:val="20"/>
          <w:szCs w:val="20"/>
        </w:rPr>
        <w:t xml:space="preserve"> Peinado</w:t>
      </w:r>
      <w:r>
        <w:rPr>
          <w:rFonts w:ascii="Maven Pro" w:eastAsia="Maven Pro" w:hAnsi="Maven Pro" w:cs="Maven Pro"/>
          <w:i/>
          <w:sz w:val="20"/>
          <w:szCs w:val="20"/>
        </w:rPr>
        <w:t xml:space="preserve"> del I</w:t>
      </w:r>
      <w:r>
        <w:rPr>
          <w:rFonts w:ascii="Maven Pro" w:eastAsia="Maven Pro" w:hAnsi="Maven Pro" w:cs="Maven Pro"/>
          <w:i/>
          <w:sz w:val="20"/>
          <w:szCs w:val="20"/>
        </w:rPr>
        <w:t xml:space="preserve">nstituto de Investigación Biomédica de Barcelona-CSIC-IDIBAPS y </w:t>
      </w:r>
      <w:r>
        <w:rPr>
          <w:rFonts w:ascii="Maven Pro" w:eastAsia="Maven Pro" w:hAnsi="Maven Pro" w:cs="Maven Pro"/>
          <w:b/>
          <w:i/>
          <w:sz w:val="20"/>
          <w:szCs w:val="20"/>
        </w:rPr>
        <w:t>Esther Barreiro</w:t>
      </w:r>
      <w:r>
        <w:rPr>
          <w:rFonts w:ascii="Maven Pro" w:eastAsia="Maven Pro" w:hAnsi="Maven Pro" w:cs="Maven Pro"/>
          <w:i/>
          <w:sz w:val="20"/>
          <w:szCs w:val="20"/>
        </w:rPr>
        <w:t xml:space="preserve"> del IMIM-Hospital del Mar de Barcelona</w:t>
      </w:r>
      <w:r>
        <w:rPr>
          <w:rFonts w:ascii="Maven Pro" w:eastAsia="Maven Pro" w:hAnsi="Maven Pro" w:cs="Maven Pro"/>
          <w:sz w:val="20"/>
          <w:szCs w:val="20"/>
        </w:rPr>
        <w:t xml:space="preserve">, coordinadores del estudio. </w:t>
      </w:r>
    </w:p>
    <w:p w14:paraId="209B7C21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b/>
          <w:sz w:val="20"/>
          <w:szCs w:val="20"/>
        </w:rPr>
      </w:pPr>
      <w:r>
        <w:rPr>
          <w:rFonts w:ascii="Maven Pro" w:eastAsia="Maven Pro" w:hAnsi="Maven Pro" w:cs="Maven Pro"/>
          <w:b/>
          <w:sz w:val="20"/>
          <w:szCs w:val="20"/>
        </w:rPr>
        <w:t>Nuevas estrategias terapéuticas frente a la EPOC</w:t>
      </w:r>
    </w:p>
    <w:p w14:paraId="07F5BD75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>La EPOC es una enfermedad respiratoria crónica que se asoci</w:t>
      </w:r>
      <w:r>
        <w:rPr>
          <w:rFonts w:ascii="Maven Pro" w:eastAsia="Maven Pro" w:hAnsi="Maven Pro" w:cs="Maven Pro"/>
          <w:sz w:val="20"/>
          <w:szCs w:val="20"/>
        </w:rPr>
        <w:t xml:space="preserve">a a menudo con la exposición al humo del cigarrillo. En los pacientes con EPOC, la disfunción de los músculos periféricos y respiratorios es una manifestación sistémica común, con repercusiones en el pronóstico de la enfermedad. </w:t>
      </w:r>
    </w:p>
    <w:p w14:paraId="7971DF35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>Dicho trabajo demostró que</w:t>
      </w:r>
      <w:r>
        <w:rPr>
          <w:rFonts w:ascii="Maven Pro" w:eastAsia="Maven Pro" w:hAnsi="Maven Pro" w:cs="Maven Pro"/>
          <w:sz w:val="20"/>
          <w:szCs w:val="20"/>
        </w:rPr>
        <w:t xml:space="preserve"> la exposición al humo del cigarrillo provoca una reducción significativa de la fuerza y la resistencia musculares, en músculos periféricos como el gastrocnemio, y en menor medida en el músculo respiratorio diafragma. Los investigadores también descubriero</w:t>
      </w:r>
      <w:r>
        <w:rPr>
          <w:rFonts w:ascii="Maven Pro" w:eastAsia="Maven Pro" w:hAnsi="Maven Pro" w:cs="Maven Pro"/>
          <w:sz w:val="20"/>
          <w:szCs w:val="20"/>
        </w:rPr>
        <w:t xml:space="preserve">n que la activación farmacológica de la vía de una enzima, </w:t>
      </w:r>
      <w:proofErr w:type="gramStart"/>
      <w:r>
        <w:rPr>
          <w:rFonts w:ascii="Maven Pro" w:eastAsia="Maven Pro" w:hAnsi="Maven Pro" w:cs="Maven Pro"/>
          <w:i/>
          <w:sz w:val="20"/>
          <w:szCs w:val="20"/>
        </w:rPr>
        <w:t>la guanilato ciclasa</w:t>
      </w:r>
      <w:proofErr w:type="gramEnd"/>
      <w:r>
        <w:rPr>
          <w:rFonts w:ascii="Maven Pro" w:eastAsia="Maven Pro" w:hAnsi="Maven Pro" w:cs="Maven Pro"/>
          <w:sz w:val="20"/>
          <w:szCs w:val="20"/>
        </w:rPr>
        <w:t xml:space="preserve"> en la EPOC, puede proporcionar una estrategia terapéutica beneficiosa que vaya más allá del pulmón.</w:t>
      </w:r>
    </w:p>
    <w:p w14:paraId="208CECD1" w14:textId="0A13777D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lastRenderedPageBreak/>
        <w:t>El estudio evaluó los efectos del humo del cigarrillo sobre biomarcadores de fatiga muscular (MURF-1, Atrogina-1, subunidad C8 de la proteasoma</w:t>
      </w:r>
      <w:r>
        <w:rPr>
          <w:rFonts w:ascii="Maven Pro" w:eastAsia="Maven Pro" w:hAnsi="Maven Pro" w:cs="Maven Pro"/>
          <w:sz w:val="20"/>
          <w:szCs w:val="20"/>
        </w:rPr>
        <w:t xml:space="preserve"> 20s y ubiquitinación de proteína total), y su regulación transcripcional en dos tipos de músculos con diferentes d</w:t>
      </w:r>
      <w:r>
        <w:rPr>
          <w:rFonts w:ascii="Maven Pro" w:eastAsia="Maven Pro" w:hAnsi="Maven Pro" w:cs="Maven Pro"/>
          <w:sz w:val="20"/>
          <w:szCs w:val="20"/>
        </w:rPr>
        <w:t xml:space="preserve">emandas energéticas como son el gastrocnemio y el diafragma. </w:t>
      </w:r>
    </w:p>
    <w:p w14:paraId="5965CB71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 xml:space="preserve">El tratamiento a largo plazo con el estimulador de la </w:t>
      </w:r>
      <w:proofErr w:type="spellStart"/>
      <w:r>
        <w:rPr>
          <w:rFonts w:ascii="Maven Pro" w:eastAsia="Maven Pro" w:hAnsi="Maven Pro" w:cs="Maven Pro"/>
          <w:i/>
          <w:sz w:val="20"/>
          <w:szCs w:val="20"/>
        </w:rPr>
        <w:t>GCs</w:t>
      </w:r>
      <w:proofErr w:type="spellEnd"/>
      <w:r>
        <w:rPr>
          <w:rFonts w:ascii="Maven Pro" w:eastAsia="Maven Pro" w:hAnsi="Maven Pro" w:cs="Maven Pro"/>
          <w:i/>
          <w:sz w:val="20"/>
          <w:szCs w:val="20"/>
        </w:rPr>
        <w:t xml:space="preserve"> BAY 41-2272</w:t>
      </w:r>
      <w:r>
        <w:rPr>
          <w:rFonts w:ascii="Maven Pro" w:eastAsia="Maven Pro" w:hAnsi="Maven Pro" w:cs="Maven Pro"/>
          <w:sz w:val="20"/>
          <w:szCs w:val="20"/>
        </w:rPr>
        <w:t xml:space="preserve">, produjo una reducción significativa de los niveles en el </w:t>
      </w:r>
      <w:r>
        <w:rPr>
          <w:rFonts w:ascii="Maven Pro" w:eastAsia="Maven Pro" w:hAnsi="Maven Pro" w:cs="Maven Pro"/>
          <w:i/>
          <w:sz w:val="20"/>
          <w:szCs w:val="20"/>
        </w:rPr>
        <w:t>gastrocnemio de los marcadores proteolíticos</w:t>
      </w:r>
      <w:r>
        <w:rPr>
          <w:rFonts w:ascii="Maven Pro" w:eastAsia="Maven Pro" w:hAnsi="Maven Pro" w:cs="Maven Pro"/>
          <w:sz w:val="20"/>
          <w:szCs w:val="20"/>
        </w:rPr>
        <w:t xml:space="preserve"> mencionados, junto co</w:t>
      </w:r>
      <w:r>
        <w:rPr>
          <w:rFonts w:ascii="Maven Pro" w:eastAsia="Maven Pro" w:hAnsi="Maven Pro" w:cs="Maven Pro"/>
          <w:sz w:val="20"/>
          <w:szCs w:val="20"/>
        </w:rPr>
        <w:t xml:space="preserve">n una recuperación del peso corporal y un aumento de los niveles de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GMPc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. Los investigadores concluyeron que la acción sobre la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GCs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podría tener efectos beneficiosos sobre las alteraciones musculares en pacientes con EPOC.</w:t>
      </w:r>
    </w:p>
    <w:p w14:paraId="313A8CC3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>Los investigadores confían en que</w:t>
      </w:r>
      <w:r>
        <w:rPr>
          <w:rFonts w:ascii="Maven Pro" w:eastAsia="Maven Pro" w:hAnsi="Maven Pro" w:cs="Maven Pro"/>
          <w:sz w:val="20"/>
          <w:szCs w:val="20"/>
        </w:rPr>
        <w:t xml:space="preserve"> este estudio pueda ayudar a mejorar la comprensión de la enfermedad, y proporcionar nuevas estrategias terapéuticas para tratar la disfunción del músculo esquelético en pacientes con EPOC. Los estimuladores de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GCs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están indicados para el tratamiento de la</w:t>
      </w:r>
      <w:r>
        <w:rPr>
          <w:rFonts w:ascii="Maven Pro" w:eastAsia="Maven Pro" w:hAnsi="Maven Pro" w:cs="Maven Pro"/>
          <w:sz w:val="20"/>
          <w:szCs w:val="20"/>
        </w:rPr>
        <w:t xml:space="preserve"> hipertensión pulmonar tromboembólica crónica, y de la hipertensión arterial pulmonar idiopática, lo que podría facilitar su aprobación para el uso en la EPOC.</w:t>
      </w:r>
    </w:p>
    <w:p w14:paraId="2E36DF18" w14:textId="77777777" w:rsidR="00090D34" w:rsidRDefault="00156746">
      <w:pPr>
        <w:spacing w:after="160" w:line="254" w:lineRule="auto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 xml:space="preserve"> </w:t>
      </w:r>
    </w:p>
    <w:p w14:paraId="5B20AAD2" w14:textId="77777777" w:rsidR="00090D34" w:rsidRDefault="00156746">
      <w:pPr>
        <w:spacing w:after="48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Referencia del estudio:</w:t>
      </w:r>
    </w:p>
    <w:p w14:paraId="0F463001" w14:textId="77777777" w:rsidR="00090D34" w:rsidRDefault="00156746">
      <w:pPr>
        <w:spacing w:after="480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>Peinado VI, Guitart M, Blanco I, Tura-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Ceide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O, Paul T, Barberà JA, Barreiro E.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Atrophy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signaling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pathways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in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re</w:t>
      </w:r>
      <w:r>
        <w:rPr>
          <w:rFonts w:ascii="Maven Pro" w:eastAsia="Maven Pro" w:hAnsi="Maven Pro" w:cs="Maven Pro"/>
          <w:sz w:val="20"/>
          <w:szCs w:val="20"/>
        </w:rPr>
        <w:t>spiratory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and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limb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muscles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of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guinea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pigs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exposed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to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chronic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cigarette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smoke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: role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of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soluble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guanylate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cyclase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stimulation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. Am J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Physiol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Lung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Cell Mol </w:t>
      </w:r>
      <w:proofErr w:type="spellStart"/>
      <w:r>
        <w:rPr>
          <w:rFonts w:ascii="Maven Pro" w:eastAsia="Maven Pro" w:hAnsi="Maven Pro" w:cs="Maven Pro"/>
          <w:sz w:val="20"/>
          <w:szCs w:val="20"/>
        </w:rPr>
        <w:t>Physiol</w:t>
      </w:r>
      <w:proofErr w:type="spellEnd"/>
      <w:r>
        <w:rPr>
          <w:rFonts w:ascii="Maven Pro" w:eastAsia="Maven Pro" w:hAnsi="Maven Pro" w:cs="Maven Pro"/>
          <w:sz w:val="20"/>
          <w:szCs w:val="20"/>
        </w:rPr>
        <w:t xml:space="preserve"> 324: L677–L693, 2023. doi:10.1152/ajplung.00258.2022</w:t>
      </w:r>
    </w:p>
    <w:p w14:paraId="43F6826F" w14:textId="7CFD1005" w:rsidR="00156746" w:rsidRDefault="00156746" w:rsidP="00156746">
      <w:pPr>
        <w:spacing w:after="480"/>
        <w:jc w:val="both"/>
        <w:rPr>
          <w:rFonts w:ascii="Maven Pro" w:eastAsia="Maven Pro" w:hAnsi="Maven Pro" w:cs="Maven Pro"/>
          <w:b/>
          <w:sz w:val="20"/>
          <w:szCs w:val="20"/>
        </w:rPr>
      </w:pPr>
      <w:r>
        <w:rPr>
          <w:rFonts w:ascii="Maven Pro" w:eastAsia="Maven Pro" w:hAnsi="Maven Pro" w:cs="Maven Pro"/>
          <w:b/>
          <w:sz w:val="20"/>
          <w:szCs w:val="20"/>
        </w:rPr>
        <w:t>Sobre el CIBER</w:t>
      </w:r>
    </w:p>
    <w:p w14:paraId="62F6B8C9" w14:textId="77777777" w:rsidR="00156746" w:rsidRDefault="00156746" w:rsidP="00156746">
      <w:pPr>
        <w:spacing w:after="480"/>
        <w:jc w:val="both"/>
        <w:rPr>
          <w:rFonts w:ascii="Maven Pro" w:eastAsia="Maven Pro" w:hAnsi="Maven Pro" w:cs="Maven Pro"/>
          <w:sz w:val="20"/>
          <w:szCs w:val="20"/>
        </w:rPr>
      </w:pPr>
      <w:r>
        <w:rPr>
          <w:rFonts w:ascii="Maven Pro" w:eastAsia="Maven Pro" w:hAnsi="Maven Pro" w:cs="Maven Pro"/>
          <w:sz w:val="20"/>
          <w:szCs w:val="20"/>
        </w:rPr>
        <w:t>El Centro de Investigación Biomédica en Red (CIBER) es un consorcio público adscrito al Instituto de Salud Carlos III (Ministerio de Ciencia e Innovación) y está cofinanciado por el Fondo Europeo de Desarrollo Regional (FEDER). Su objetivo es impulsar la investigación de excelencia en biomedicina y ciencias de la salud que se realiza en el Sistema Nacional de Salud y en el Sistema de Ciencia y Tecnología.  En la actualidad, el CIBER cuenta con más de 500 grupos de investigación y una plantilla de cerca de 6.000 personas entre personal investigador adscrito y contratado, pertenecientes a más de 100 instituciones consorciadas.</w:t>
      </w:r>
    </w:p>
    <w:p w14:paraId="12AC578E" w14:textId="2E1BD668" w:rsidR="00090D34" w:rsidRDefault="00090D34">
      <w:pPr>
        <w:spacing w:before="280" w:after="280"/>
        <w:jc w:val="both"/>
        <w:rPr>
          <w:rFonts w:ascii="Maven Pro" w:eastAsia="Maven Pro" w:hAnsi="Maven Pro" w:cs="Maven Pro"/>
          <w:sz w:val="44"/>
          <w:szCs w:val="44"/>
        </w:rPr>
      </w:pPr>
    </w:p>
    <w:p w14:paraId="78A7971C" w14:textId="77777777" w:rsidR="00090D34" w:rsidRDefault="00156746">
      <w:pPr>
        <w:spacing w:before="280"/>
        <w:ind w:left="280"/>
        <w:jc w:val="both"/>
        <w:rPr>
          <w:rFonts w:ascii="Maven Pro" w:eastAsia="Maven Pro" w:hAnsi="Maven Pro" w:cs="Maven Pro"/>
          <w:color w:val="4F4F4F"/>
          <w:sz w:val="20"/>
          <w:szCs w:val="20"/>
        </w:rPr>
      </w:pPr>
      <w:r>
        <w:rPr>
          <w:rFonts w:ascii="Maven Pro" w:eastAsia="Maven Pro" w:hAnsi="Maven Pro" w:cs="Maven Pro"/>
          <w:color w:val="4F4F4F"/>
          <w:sz w:val="20"/>
          <w:szCs w:val="20"/>
        </w:rPr>
        <w:t xml:space="preserve"> </w:t>
      </w:r>
    </w:p>
    <w:p w14:paraId="505CF3AC" w14:textId="77777777" w:rsidR="00090D34" w:rsidRDefault="00090D34">
      <w:pPr>
        <w:spacing w:before="280" w:after="280" w:line="240" w:lineRule="auto"/>
        <w:jc w:val="both"/>
        <w:rPr>
          <w:rFonts w:ascii="Maven Pro" w:eastAsia="Maven Pro" w:hAnsi="Maven Pro" w:cs="Maven Pro"/>
          <w:b/>
          <w:sz w:val="40"/>
          <w:szCs w:val="40"/>
        </w:rPr>
      </w:pPr>
    </w:p>
    <w:p w14:paraId="18FCF9E9" w14:textId="77777777" w:rsidR="00090D34" w:rsidRDefault="00090D34">
      <w:pPr>
        <w:pBdr>
          <w:top w:val="nil"/>
          <w:left w:val="nil"/>
          <w:bottom w:val="nil"/>
          <w:right w:val="nil"/>
          <w:between w:val="nil"/>
        </w:pBdr>
        <w:spacing w:before="280"/>
        <w:ind w:left="284"/>
        <w:jc w:val="both"/>
        <w:rPr>
          <w:rFonts w:ascii="Maven Pro" w:eastAsia="Maven Pro" w:hAnsi="Maven Pro" w:cs="Maven Pro"/>
          <w:color w:val="4F4F4F"/>
          <w:sz w:val="20"/>
          <w:szCs w:val="20"/>
        </w:rPr>
      </w:pPr>
    </w:p>
    <w:sectPr w:rsidR="00090D34">
      <w:headerReference w:type="default" r:id="rId9"/>
      <w:footerReference w:type="default" r:id="rId10"/>
      <w:pgSz w:w="11906" w:h="16838"/>
      <w:pgMar w:top="1417" w:right="1701" w:bottom="1417" w:left="1701" w:header="708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E1A5" w14:textId="77777777" w:rsidR="00000000" w:rsidRDefault="00156746">
      <w:pPr>
        <w:spacing w:after="0" w:line="240" w:lineRule="auto"/>
      </w:pPr>
      <w:r>
        <w:separator/>
      </w:r>
    </w:p>
  </w:endnote>
  <w:endnote w:type="continuationSeparator" w:id="0">
    <w:p w14:paraId="1DC14925" w14:textId="77777777" w:rsidR="00000000" w:rsidRDefault="001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ven Pr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0207" w14:textId="77777777" w:rsidR="00090D34" w:rsidRDefault="00090D34"/>
  <w:tbl>
    <w:tblPr>
      <w:tblStyle w:val="a0"/>
      <w:tblW w:w="850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629"/>
      <w:gridCol w:w="4875"/>
    </w:tblGrid>
    <w:tr w:rsidR="00090D34" w14:paraId="4335CC20" w14:textId="77777777" w:rsidTr="00090D3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29" w:type="dxa"/>
        </w:tcPr>
        <w:p w14:paraId="216FB3DE" w14:textId="77777777" w:rsidR="00090D34" w:rsidRDefault="001567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 w:val="0"/>
              <w:color w:val="000000"/>
              <w:sz w:val="16"/>
              <w:szCs w:val="16"/>
            </w:rPr>
            <w:t>Unidad de Cultura Científica</w:t>
          </w:r>
        </w:p>
        <w:p w14:paraId="5553FFB9" w14:textId="77777777" w:rsidR="00090D34" w:rsidRDefault="001567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hyperlink r:id="rId1">
            <w:r>
              <w:rPr>
                <w:rFonts w:ascii="Arial" w:eastAsia="Arial" w:hAnsi="Arial" w:cs="Arial"/>
                <w:b w:val="0"/>
                <w:color w:val="0000FF"/>
                <w:sz w:val="16"/>
                <w:szCs w:val="16"/>
                <w:u w:val="single"/>
              </w:rPr>
              <w:t>cultura.cientifica@ciberisciii.es</w:t>
            </w:r>
          </w:hyperlink>
          <w:r>
            <w:rPr>
              <w:rFonts w:ascii="Arial" w:eastAsia="Arial" w:hAnsi="Arial" w:cs="Arial"/>
              <w:b w:val="0"/>
              <w:color w:val="000000"/>
              <w:sz w:val="16"/>
              <w:szCs w:val="16"/>
            </w:rPr>
            <w:t xml:space="preserve"> </w:t>
          </w:r>
        </w:p>
      </w:tc>
      <w:tc>
        <w:tcPr>
          <w:tcW w:w="4875" w:type="dxa"/>
        </w:tcPr>
        <w:p w14:paraId="12863F44" w14:textId="77777777" w:rsidR="00090D34" w:rsidRDefault="00090D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40" w:line="288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1E4B8DA" w14:textId="77777777" w:rsidR="00090D34" w:rsidRDefault="00090D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240" w:after="0" w:line="288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0CC0" w14:textId="77777777" w:rsidR="00000000" w:rsidRDefault="00156746">
      <w:pPr>
        <w:spacing w:after="0" w:line="240" w:lineRule="auto"/>
      </w:pPr>
      <w:r>
        <w:separator/>
      </w:r>
    </w:p>
  </w:footnote>
  <w:footnote w:type="continuationSeparator" w:id="0">
    <w:p w14:paraId="272D4A82" w14:textId="77777777" w:rsidR="00000000" w:rsidRDefault="0015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61B" w14:textId="77777777" w:rsidR="00090D34" w:rsidRDefault="001567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04"/>
      </w:tabs>
      <w:spacing w:after="0" w:line="240" w:lineRule="auto"/>
      <w:ind w:right="-1135"/>
      <w:rPr>
        <w:color w:val="000000"/>
      </w:rPr>
    </w:pPr>
    <w:r>
      <w:rPr>
        <w:noProof/>
      </w:rPr>
      <mc:AlternateContent>
        <mc:Choice Requires="wpg">
          <w:drawing>
            <wp:anchor distT="0" distB="0" distL="457200" distR="114300" simplePos="0" relativeHeight="251658240" behindDoc="0" locked="0" layoutInCell="1" hidden="0" allowOverlap="1" wp14:anchorId="24970A9C" wp14:editId="517EDAB6">
              <wp:simplePos x="0" y="0"/>
              <wp:positionH relativeFrom="page">
                <wp:posOffset>-1352483</wp:posOffset>
              </wp:positionH>
              <wp:positionV relativeFrom="margin">
                <wp:posOffset>3273426</wp:posOffset>
              </wp:positionV>
              <wp:extent cx="3986147" cy="819150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1566000" y="3378045"/>
                        <a:ext cx="7560000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20887" w14:textId="77777777" w:rsidR="00090D34" w:rsidRDefault="0015674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7365D"/>
                              <w:sz w:val="48"/>
                            </w:rPr>
                            <w:t>NOTA DE PRENSA</w:t>
                          </w:r>
                        </w:p>
                      </w:txbxContent>
                    </wps:txbx>
                    <wps:bodyPr spcFirstLastPara="1" wrap="square" lIns="182875" tIns="182875" rIns="182875" bIns="1828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457200" distR="114300" hidden="0" layoutInCell="1" locked="0" relativeHeight="0" simplePos="0">
              <wp:simplePos x="0" y="0"/>
              <wp:positionH relativeFrom="page">
                <wp:posOffset>-1352483</wp:posOffset>
              </wp:positionH>
              <wp:positionV relativeFrom="margin">
                <wp:posOffset>3273426</wp:posOffset>
              </wp:positionV>
              <wp:extent cx="3986147" cy="81915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6147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inline distT="0" distB="0" distL="0" distR="0" wp14:anchorId="0A99625E" wp14:editId="395F795B">
          <wp:extent cx="1767272" cy="842623"/>
          <wp:effectExtent l="0" t="0" r="0" b="0"/>
          <wp:docPr id="14" name="image1.jpg" descr="Un dibujo de un per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 dibujo de un perro&#10;&#10;Descripción generada automáticamente con confianza media"/>
                  <pic:cNvPicPr preferRelativeResize="0"/>
                </pic:nvPicPr>
                <pic:blipFill>
                  <a:blip r:embed="rId2"/>
                  <a:srcRect r="58195" b="4615"/>
                  <a:stretch>
                    <a:fillRect/>
                  </a:stretch>
                </pic:blipFill>
                <pic:spPr>
                  <a:xfrm>
                    <a:off x="0" y="0"/>
                    <a:ext cx="1767272" cy="842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</w:t>
    </w:r>
    <w:r>
      <w:rPr>
        <w:noProof/>
        <w:color w:val="000000"/>
      </w:rPr>
      <w:drawing>
        <wp:inline distT="0" distB="0" distL="0" distR="0" wp14:anchorId="1EBF5D4B" wp14:editId="2E6AD9CB">
          <wp:extent cx="2156706" cy="774392"/>
          <wp:effectExtent l="0" t="0" r="0" b="0"/>
          <wp:docPr id="15" name="image1.jpg" descr="Un dibujo de un per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 dibujo de un perro&#10;&#10;Descripción generada automáticamente con confianza media"/>
                  <pic:cNvPicPr preferRelativeResize="0"/>
                </pic:nvPicPr>
                <pic:blipFill>
                  <a:blip r:embed="rId2"/>
                  <a:srcRect l="41804"/>
                  <a:stretch>
                    <a:fillRect/>
                  </a:stretch>
                </pic:blipFill>
                <pic:spPr>
                  <a:xfrm>
                    <a:off x="0" y="0"/>
                    <a:ext cx="2156706" cy="774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34"/>
    <w:rsid w:val="00090D34"/>
    <w:rsid w:val="001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9D3A"/>
  <w15:docId w15:val="{F644470E-8451-4D99-B0F1-5D315E10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333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F6"/>
  </w:style>
  <w:style w:type="paragraph" w:styleId="Piedepgina">
    <w:name w:val="footer"/>
    <w:basedOn w:val="Normal"/>
    <w:link w:val="PiedepginaCar"/>
    <w:uiPriority w:val="99"/>
    <w:unhideWhenUsed/>
    <w:rsid w:val="00A9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F6"/>
  </w:style>
  <w:style w:type="paragraph" w:styleId="Prrafodelista">
    <w:name w:val="List Paragraph"/>
    <w:basedOn w:val="Normal"/>
    <w:uiPriority w:val="34"/>
    <w:qFormat/>
    <w:rsid w:val="00DD4A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20E5"/>
    <w:rPr>
      <w:color w:val="0000FF" w:themeColor="hyperlink"/>
      <w:u w:val="single"/>
    </w:rPr>
  </w:style>
  <w:style w:type="character" w:customStyle="1" w:styleId="texto">
    <w:name w:val="texto"/>
    <w:basedOn w:val="Fuentedeprrafopredeter"/>
    <w:rsid w:val="001320E5"/>
  </w:style>
  <w:style w:type="paragraph" w:styleId="Revisin">
    <w:name w:val="Revision"/>
    <w:hidden/>
    <w:uiPriority w:val="99"/>
    <w:semiHidden/>
    <w:rsid w:val="0063178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E1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0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0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6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6F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1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916C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16CE9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8F00F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3336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3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3682"/>
    <w:rPr>
      <w:b/>
      <w:bCs/>
    </w:rPr>
  </w:style>
  <w:style w:type="character" w:customStyle="1" w:styleId="video-url-fadeable">
    <w:name w:val="video-url-fadeable"/>
    <w:basedOn w:val="Fuentedeprrafopredeter"/>
    <w:rsid w:val="00333682"/>
  </w:style>
  <w:style w:type="character" w:styleId="Hipervnculovisitado">
    <w:name w:val="FollowedHyperlink"/>
    <w:basedOn w:val="Fuentedeprrafopredeter"/>
    <w:uiPriority w:val="99"/>
    <w:semiHidden/>
    <w:unhideWhenUsed/>
    <w:rsid w:val="00065D2D"/>
    <w:rPr>
      <w:color w:val="800080" w:themeColor="followedHyperlink"/>
      <w:u w:val="single"/>
    </w:rPr>
  </w:style>
  <w:style w:type="character" w:customStyle="1" w:styleId="downloadlinklink">
    <w:name w:val="downloadlinklink"/>
    <w:basedOn w:val="Fuentedeprrafopredeter"/>
    <w:rsid w:val="009664CB"/>
  </w:style>
  <w:style w:type="paragraph" w:customStyle="1" w:styleId="gmail-msolistparagraph">
    <w:name w:val="gmail-msolistparagraph"/>
    <w:basedOn w:val="Normal"/>
    <w:rsid w:val="0043395C"/>
    <w:pPr>
      <w:spacing w:before="100" w:beforeAutospacing="1" w:after="100" w:afterAutospacing="1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ber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berisciii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.cientifica@ciberisciii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</a:spPr>
      <a:bodyPr rot="0" vert="vert270" wrap="square" lIns="182880" tIns="182880" rIns="182880" bIns="18288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+6FmTtXyabXzrfYs30N1kMt5w==">CgMxLjA4AHIhMVhGY1d5dDVuVW5vZFgwLVFvc0xsR0xpNFBtcWtEUGM2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2023-05-30T13:06:00Z</dcterms:created>
  <dcterms:modified xsi:type="dcterms:W3CDTF">2023-05-30T13:06:00Z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0x0101009D61999D2CD0C640A3B57EB363576507</vt:lpwstr>
  </property>
</Properties>
</file>